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A7B26" w14:textId="760FB46C" w:rsidR="00C96384" w:rsidRPr="003E68B7" w:rsidRDefault="00000000" w:rsidP="003E68B7">
      <w:pPr>
        <w:pStyle w:val="Default"/>
        <w:spacing w:line="360" w:lineRule="auto"/>
        <w:jc w:val="both"/>
        <w:rPr>
          <w:rFonts w:ascii="Arial" w:hAnsi="Arial" w:cs="Arial"/>
          <w:sz w:val="20"/>
          <w:szCs w:val="20"/>
        </w:rPr>
      </w:pPr>
      <w:r w:rsidRPr="003E68B7">
        <w:rPr>
          <w:rFonts w:ascii="Arial" w:hAnsi="Arial" w:cs="Arial"/>
          <w:b/>
          <w:i/>
          <w:sz w:val="20"/>
          <w:szCs w:val="20"/>
          <w:u w:val="single"/>
        </w:rPr>
        <w:t>Skaidrojošais apraksts</w:t>
      </w:r>
    </w:p>
    <w:p w14:paraId="215323B8" w14:textId="77777777" w:rsidR="00C96384" w:rsidRPr="003E68B7" w:rsidRDefault="00C96384" w:rsidP="003E68B7">
      <w:pPr>
        <w:pStyle w:val="Default"/>
        <w:spacing w:line="360" w:lineRule="auto"/>
        <w:jc w:val="both"/>
        <w:rPr>
          <w:rFonts w:ascii="Arial" w:hAnsi="Arial" w:cs="Arial"/>
          <w:b/>
          <w:i/>
          <w:sz w:val="20"/>
          <w:szCs w:val="20"/>
          <w:u w:val="single"/>
        </w:rPr>
      </w:pPr>
    </w:p>
    <w:p w14:paraId="0D8E0531"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Būvprojekts minimālā sastāvā “Zvejniekiem nepieciešamās infrastruktūras pilnveidošana Pāvilostas ostā (saldētavas nojaukšana un jaunas noliktavas būvniecība) Dzintaru ielā 2E, Pāvilostā, Dienvidkurzemes novadā” izstrādāts, pamatojoties uz pasūtītāja sastādītu projektēšanas uzdevumu, saskaņā ar Dievidkurzemes TIAN, kā arī ievērojot pastāvošās normas un noteikumus.</w:t>
      </w:r>
    </w:p>
    <w:p w14:paraId="1C69D6E2" w14:textId="77777777" w:rsidR="00C96384" w:rsidRPr="003E68B7" w:rsidRDefault="00000000" w:rsidP="003E68B7">
      <w:pPr>
        <w:spacing w:line="360" w:lineRule="auto"/>
        <w:jc w:val="both"/>
        <w:rPr>
          <w:rFonts w:ascii="Arial" w:hAnsi="Arial" w:cs="Arial"/>
          <w:sz w:val="20"/>
          <w:szCs w:val="20"/>
          <w:lang w:val="lv-LV"/>
        </w:rPr>
      </w:pPr>
      <w:r w:rsidRPr="003E68B7">
        <w:rPr>
          <w:rFonts w:ascii="Arial" w:hAnsi="Arial" w:cs="Arial"/>
          <w:sz w:val="20"/>
          <w:szCs w:val="20"/>
          <w:lang w:val="lv-LV"/>
        </w:rPr>
        <w:t>Zemes gabalā atrodas esoša saldētavas ēka un esoša laivu piestātne. Projekts paredz šīs esošās ēkas nojaukšanu un jaunas ēkas būvniecību ( lietošanas kods 1271). Ēka sastāv no viena apjoma plānā, bet atsevišķi veidotiem apjomiem jumta konfigurācijā. Ēkā izvietojas 8 noliktavas ar neatkarīgām ieejām, neliela lokāla saldētavas telpa svaigu zivju sasaldēšanas un īslaicīgas uzglabāšanas funkcijas nodrošināšanai, kā arī sadzīves telpu bloks noliktavu lietotājiem un darbiniekiem. Noliktavas paredzētas zvejnieku inventāra glabāšanai. Sadzīves telpu blokā paredzēta viena tualete un viena duša darbinieku vajadzībām. Ēkā nav paredzēta zivju apstrāde, pirmapstrāde, griešana, tīrīšana, filetēšana, fasēšana vai cita ražošanas/pārstrādes funkcija.</w:t>
      </w:r>
    </w:p>
    <w:p w14:paraId="23656AC7"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rādītāji</w:t>
      </w:r>
    </w:p>
    <w:p w14:paraId="04BE237F"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apbūves laukums   351m</w:t>
      </w:r>
      <w:r w:rsidRPr="003E68B7">
        <w:rPr>
          <w:rFonts w:ascii="Arial" w:hAnsi="Arial" w:cs="Arial"/>
          <w:sz w:val="20"/>
          <w:szCs w:val="20"/>
          <w:vertAlign w:val="superscript"/>
        </w:rPr>
        <w:t>2</w:t>
      </w:r>
    </w:p>
    <w:p w14:paraId="0D647264"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kopējā platība   289,83m</w:t>
      </w:r>
      <w:r w:rsidRPr="003E68B7">
        <w:rPr>
          <w:rFonts w:ascii="Arial" w:hAnsi="Arial" w:cs="Arial"/>
          <w:sz w:val="20"/>
          <w:szCs w:val="20"/>
          <w:vertAlign w:val="superscript"/>
        </w:rPr>
        <w:t>2</w:t>
      </w:r>
    </w:p>
    <w:p w14:paraId="61852318"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būvtilpums 1481m</w:t>
      </w:r>
      <w:r w:rsidRPr="003E68B7">
        <w:rPr>
          <w:rFonts w:ascii="Arial" w:hAnsi="Arial" w:cs="Arial"/>
          <w:sz w:val="20"/>
          <w:szCs w:val="20"/>
          <w:vertAlign w:val="superscript"/>
        </w:rPr>
        <w:t>3</w:t>
      </w:r>
    </w:p>
    <w:p w14:paraId="4BA03579"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lietošanas veids pēc LBN 201-15   VIa</w:t>
      </w:r>
    </w:p>
    <w:p w14:paraId="5C30300F"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ugunsdrošības pakāpe U2b</w:t>
      </w:r>
    </w:p>
    <w:p w14:paraId="3FB085C4"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kods pēc klasifikatora 1271</w:t>
      </w:r>
    </w:p>
    <w:p w14:paraId="720893A1" w14:textId="77777777" w:rsidR="00C96384" w:rsidRPr="003E68B7" w:rsidRDefault="00000000" w:rsidP="003E68B7">
      <w:pPr>
        <w:pStyle w:val="Default"/>
        <w:spacing w:line="360" w:lineRule="auto"/>
        <w:ind w:firstLine="720"/>
        <w:jc w:val="both"/>
        <w:rPr>
          <w:rFonts w:ascii="Arial" w:hAnsi="Arial" w:cs="Arial"/>
          <w:sz w:val="20"/>
          <w:szCs w:val="20"/>
        </w:rPr>
      </w:pPr>
      <w:r w:rsidRPr="003E68B7">
        <w:rPr>
          <w:rFonts w:ascii="Arial" w:hAnsi="Arial" w:cs="Arial"/>
          <w:sz w:val="20"/>
          <w:szCs w:val="20"/>
        </w:rPr>
        <w:t>Ēkas grupa   2.</w:t>
      </w:r>
    </w:p>
    <w:p w14:paraId="4E14891D" w14:textId="77777777" w:rsidR="00C96384" w:rsidRPr="003E68B7" w:rsidRDefault="00000000" w:rsidP="003E68B7">
      <w:pPr>
        <w:pStyle w:val="Default"/>
        <w:spacing w:line="360" w:lineRule="auto"/>
        <w:jc w:val="both"/>
        <w:rPr>
          <w:rFonts w:ascii="Arial" w:hAnsi="Arial" w:cs="Arial"/>
          <w:sz w:val="20"/>
          <w:szCs w:val="20"/>
        </w:rPr>
      </w:pPr>
      <w:r w:rsidRPr="003E68B7">
        <w:rPr>
          <w:rFonts w:ascii="Arial" w:hAnsi="Arial" w:cs="Arial"/>
          <w:sz w:val="20"/>
          <w:szCs w:val="20"/>
        </w:rPr>
        <w:t xml:space="preserve">Ēka  ziemeļu pusē iegraužas esošā nogāzē, tādēļ ēkas ziemeļu sienas daļa risināta kā atbalsta siena. Tāds risinājums izvēlēts, lai apjoma augstums neaizsedz esošo fona apbūvi un apjoma masa nekonkurē ar apkārtējo ēku apjomu, tas veidots kā viena ēka plānā, bet jumta konfigurācija sadrumstalo šo apjomu. Ēkas konstrukcijas ir keramzītbetona mūra sienas, koka jumta konstrukcijas, fasādē ēkas apdare ir koka dēļu apšuvums ”trinītī” un jumta segums- profilētais jumta skārds ekvivalents RUUKKI CLASSIC D. </w:t>
      </w:r>
    </w:p>
    <w:p w14:paraId="04DD00AB" w14:textId="77777777" w:rsidR="00C96384" w:rsidRPr="003E68B7" w:rsidRDefault="003E68B7" w:rsidP="003E68B7">
      <w:pPr>
        <w:pStyle w:val="Default"/>
        <w:keepNext/>
        <w:spacing w:line="360" w:lineRule="auto"/>
        <w:jc w:val="both"/>
        <w:rPr>
          <w:rFonts w:ascii="Arial" w:hAnsi="Arial" w:cs="Arial"/>
          <w:sz w:val="20"/>
          <w:szCs w:val="20"/>
        </w:rPr>
      </w:pPr>
      <w:r w:rsidRPr="003E68B7">
        <w:rPr>
          <w:rFonts w:ascii="Arial" w:hAnsi="Arial" w:cs="Arial"/>
          <w:noProof/>
          <w:sz w:val="20"/>
          <w:szCs w:val="20"/>
          <w:lang w:val="en-US" w:eastAsia="en-US"/>
        </w:rPr>
        <w:pict w14:anchorId="641E1C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3" o:spid="_x0000_i1025" type="#_x0000_t75" style="width:240pt;height:180pt;visibility:visible;mso-wrap-style:square">
            <v:imagedata r:id="rId5" o:title="" croptop="-3f" cropbottom="-3f" cropleft="-2f" cropright="-2f"/>
          </v:shape>
        </w:pict>
      </w:r>
    </w:p>
    <w:p w14:paraId="2D6F5F83" w14:textId="77777777" w:rsidR="00C96384" w:rsidRPr="003E68B7" w:rsidRDefault="00000000" w:rsidP="003E68B7">
      <w:pPr>
        <w:pStyle w:val="Caption"/>
        <w:spacing w:line="360" w:lineRule="auto"/>
        <w:jc w:val="both"/>
        <w:rPr>
          <w:rFonts w:ascii="Arial" w:hAnsi="Arial" w:cs="Arial"/>
          <w:sz w:val="20"/>
          <w:szCs w:val="20"/>
          <w:lang w:val="lv-LV"/>
        </w:rPr>
      </w:pPr>
      <w:r w:rsidRPr="003E68B7">
        <w:rPr>
          <w:rFonts w:ascii="Arial" w:hAnsi="Arial" w:cs="Arial"/>
          <w:sz w:val="20"/>
          <w:szCs w:val="20"/>
          <w:lang w:val="lv-LV"/>
        </w:rPr>
        <w:t xml:space="preserve">Attēls </w:t>
      </w:r>
      <w:r w:rsidRPr="003E68B7">
        <w:rPr>
          <w:rFonts w:ascii="Arial" w:hAnsi="Arial" w:cs="Arial"/>
          <w:sz w:val="20"/>
          <w:szCs w:val="20"/>
          <w:lang w:val="lv-LV"/>
        </w:rPr>
        <w:fldChar w:fldCharType="begin"/>
      </w:r>
      <w:r w:rsidRPr="003E68B7">
        <w:rPr>
          <w:rFonts w:ascii="Arial" w:hAnsi="Arial" w:cs="Arial"/>
          <w:sz w:val="20"/>
          <w:szCs w:val="20"/>
          <w:lang w:val="lv-LV"/>
        </w:rPr>
        <w:instrText xml:space="preserve"> SEQ Attēls \* ARABIC </w:instrText>
      </w:r>
      <w:r w:rsidRPr="003E68B7">
        <w:rPr>
          <w:rFonts w:ascii="Arial" w:hAnsi="Arial" w:cs="Arial"/>
          <w:sz w:val="20"/>
          <w:szCs w:val="20"/>
          <w:lang w:val="lv-LV"/>
        </w:rPr>
        <w:fldChar w:fldCharType="separate"/>
      </w:r>
      <w:r w:rsidRPr="003E68B7">
        <w:rPr>
          <w:rFonts w:ascii="Arial" w:hAnsi="Arial" w:cs="Arial"/>
          <w:sz w:val="20"/>
          <w:szCs w:val="20"/>
          <w:lang w:val="lv-LV"/>
        </w:rPr>
        <w:t>1</w:t>
      </w:r>
      <w:r w:rsidRPr="003E68B7">
        <w:rPr>
          <w:rFonts w:ascii="Arial" w:hAnsi="Arial" w:cs="Arial"/>
          <w:sz w:val="20"/>
          <w:szCs w:val="20"/>
          <w:lang w:val="lv-LV"/>
        </w:rPr>
        <w:fldChar w:fldCharType="end"/>
      </w:r>
      <w:r w:rsidRPr="003E68B7">
        <w:rPr>
          <w:rFonts w:ascii="Arial" w:hAnsi="Arial" w:cs="Arial"/>
          <w:sz w:val="20"/>
          <w:szCs w:val="20"/>
          <w:lang w:val="lv-LV"/>
        </w:rPr>
        <w:t>. Skats uz esošo piestātni no austrumiem.</w:t>
      </w:r>
    </w:p>
    <w:p w14:paraId="24AFF1B1" w14:textId="77777777" w:rsidR="00C96384" w:rsidRPr="003E68B7" w:rsidRDefault="00C96384" w:rsidP="003E68B7">
      <w:pPr>
        <w:pStyle w:val="Caption"/>
        <w:spacing w:line="360" w:lineRule="auto"/>
        <w:jc w:val="both"/>
        <w:rPr>
          <w:rFonts w:ascii="Arial" w:hAnsi="Arial" w:cs="Arial"/>
          <w:sz w:val="20"/>
          <w:szCs w:val="20"/>
          <w:lang w:val="lv-LV"/>
        </w:rPr>
      </w:pPr>
    </w:p>
    <w:p w14:paraId="0CD7E99F" w14:textId="77777777" w:rsidR="00C96384" w:rsidRDefault="00000000" w:rsidP="003E68B7">
      <w:pPr>
        <w:spacing w:line="360" w:lineRule="auto"/>
        <w:rPr>
          <w:rFonts w:ascii="Arial" w:hAnsi="Arial" w:cs="Arial"/>
          <w:sz w:val="20"/>
          <w:szCs w:val="20"/>
          <w:lang w:val="lv-LV"/>
        </w:rPr>
      </w:pPr>
      <w:r w:rsidRPr="003E68B7">
        <w:rPr>
          <w:rFonts w:ascii="Arial" w:hAnsi="Arial" w:cs="Arial"/>
          <w:sz w:val="20"/>
          <w:szCs w:val="20"/>
          <w:lang w:val="lv-LV"/>
        </w:rPr>
        <w:t>Piestātnes projekts tiks risināts citā neatkarīgā būvprojektā , lietas Nr BIS-BL-866213-12342.</w:t>
      </w:r>
    </w:p>
    <w:p w14:paraId="33D2D364" w14:textId="77777777" w:rsidR="003E68B7" w:rsidRPr="003E68B7" w:rsidRDefault="003E68B7" w:rsidP="003E68B7">
      <w:pPr>
        <w:spacing w:line="360" w:lineRule="auto"/>
        <w:rPr>
          <w:rFonts w:ascii="Arial" w:hAnsi="Arial" w:cs="Arial"/>
          <w:sz w:val="20"/>
          <w:szCs w:val="20"/>
          <w:lang w:val="lv-LV"/>
        </w:rPr>
      </w:pPr>
    </w:p>
    <w:p w14:paraId="385FE147"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b/>
          <w:sz w:val="20"/>
          <w:szCs w:val="20"/>
          <w:lang w:val="lv-LV"/>
        </w:rPr>
        <w:lastRenderedPageBreak/>
        <w:t>Tehnoloģiskā procesa apraksts.</w:t>
      </w:r>
    </w:p>
    <w:p w14:paraId="515243C6"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sz w:val="20"/>
          <w:szCs w:val="20"/>
          <w:lang w:val="lv-LV"/>
        </w:rPr>
        <w:t>Ēkas pamatfunkcija ir zvejnieku inventāra noliktavu nodrošināšana Pāvilostas ostas lietotāju vajadzībām. Visas ēkā paredzētās noliktavas izmantojamas zvejnieku inventāra, aprīkojuma un ar zvejniecības darbību saistītu palīglīdzekļu glabāšanai. Noliktavu telpās nav paredzēta produkcijas ražošana, zivju apstrāde vai cits tehnoloģisks pārstrādes process.</w:t>
      </w:r>
    </w:p>
    <w:p w14:paraId="5BFEDABF"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sz w:val="20"/>
          <w:szCs w:val="20"/>
          <w:lang w:val="lv-LV"/>
        </w:rPr>
        <w:t>Saldētavas telpa paredzēta kā neliela lokāla saldētavas zona svaigu zivju sasaldēšanas un īslaicīgas uzglabāšanas funkcijas nodrošināšanai. Saldētavā paredzēta tikai svaigu zivju ievietošana saldēšanas režīmā, sasaldēšana/uzglabāšana un tālāka izvešana. Saldētavas funkcija nav saistīta ar zivju pirmapstrādi, mehānisku apstrādi, griešanu, tīrīšanu, šķirošanu, filetēšanu, fasēšanu, kūpināšanu, konservēšanu vai gatavas produkcijas ražošanu.</w:t>
      </w:r>
    </w:p>
    <w:p w14:paraId="5B1AA6BB"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sz w:val="20"/>
          <w:szCs w:val="20"/>
          <w:lang w:val="lv-LV"/>
        </w:rPr>
        <w:t>Tehnoloģiskā plūsma paredzama šādā secībā: svaigu zivju piegāde no piestātnes zonas, īslaicīga ievietošana lokālajā saldētavā, sasaldēšana vai uzglabāšana atbilstoši saldētavas iekārtas režīmam un tālāka izvešana. Procesā nav paredzētas atsevišķas zivju apstrādes darba vietas, ražošanas līnijas, mazgāšanas vannas, griešanas galdi vai citas pārtikas pārstrādes iekārtas.</w:t>
      </w:r>
    </w:p>
    <w:p w14:paraId="287B2981"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sz w:val="20"/>
          <w:szCs w:val="20"/>
          <w:lang w:val="lv-LV"/>
        </w:rPr>
        <w:t>Sadzīves telpu blokā paredzēta viena tualete un viena duša darbinieku vajadzībām. Ūdensapgādes un sadzīves kanalizācijas pieslēgumi paredzami tikai sadzīves vajadzībām un attiecīgajām ēkas inženiersistēmām. Ja konkrētās saldētavas iekārtas ekspluatācijai nepieciešams kondensāta vai tehniskā ūdens novadīšanas risinājums, tas precizējams UK un/vai AVK sadaļā pēc izvēlētās iekārtas ražotāja tehniskās dokumentācijas.</w:t>
      </w:r>
    </w:p>
    <w:p w14:paraId="17F3FDFA" w14:textId="77777777" w:rsidR="00C96384" w:rsidRPr="003E68B7" w:rsidRDefault="00000000" w:rsidP="003E68B7">
      <w:pPr>
        <w:spacing w:after="120" w:line="360" w:lineRule="auto"/>
        <w:jc w:val="both"/>
        <w:rPr>
          <w:rFonts w:ascii="Arial" w:hAnsi="Arial" w:cs="Arial"/>
          <w:sz w:val="20"/>
          <w:szCs w:val="20"/>
          <w:lang w:val="lv-LV"/>
        </w:rPr>
      </w:pPr>
      <w:r w:rsidRPr="003E68B7">
        <w:rPr>
          <w:rFonts w:ascii="Arial" w:hAnsi="Arial" w:cs="Arial"/>
          <w:sz w:val="20"/>
          <w:szCs w:val="20"/>
          <w:lang w:val="lv-LV"/>
        </w:rPr>
        <w:t>Ņemot vērā, ka objektā nav paredzēta zivju apstrāde vai pārstrāde, ēkas tehnoloģiskais risinājums vērtējams kā noliktavu un nelielas lokālas saldētavas funkcija, nevis kā zivju pārstrādes vai ražošanas objekts.</w:t>
      </w:r>
    </w:p>
    <w:p w14:paraId="06631792" w14:textId="77777777" w:rsidR="00C96384" w:rsidRPr="003E68B7" w:rsidRDefault="00000000" w:rsidP="003E68B7">
      <w:pPr>
        <w:spacing w:line="360" w:lineRule="auto"/>
        <w:rPr>
          <w:rFonts w:ascii="Arial" w:eastAsia="Arial" w:hAnsi="Arial" w:cs="Arial"/>
          <w:sz w:val="20"/>
          <w:szCs w:val="20"/>
          <w:lang w:val="lv-LV"/>
        </w:rPr>
      </w:pPr>
      <w:r w:rsidRPr="003E68B7">
        <w:rPr>
          <w:rFonts w:ascii="Arial" w:eastAsia="Arial" w:hAnsi="Arial" w:cs="Arial"/>
          <w:sz w:val="20"/>
          <w:szCs w:val="20"/>
          <w:lang w:val="lv-LV"/>
        </w:rPr>
        <w:t xml:space="preserve"> </w:t>
      </w:r>
    </w:p>
    <w:p w14:paraId="228BF4E9" w14:textId="77777777" w:rsidR="00C96384" w:rsidRPr="003E68B7" w:rsidRDefault="00000000" w:rsidP="003E68B7">
      <w:pPr>
        <w:spacing w:line="360" w:lineRule="auto"/>
        <w:rPr>
          <w:rFonts w:ascii="Arial" w:hAnsi="Arial" w:cs="Arial"/>
          <w:sz w:val="20"/>
          <w:szCs w:val="20"/>
          <w:lang w:val="lv-LV"/>
        </w:rPr>
      </w:pPr>
      <w:r w:rsidRPr="003E68B7">
        <w:rPr>
          <w:rFonts w:ascii="Arial" w:hAnsi="Arial" w:cs="Arial"/>
          <w:b/>
          <w:sz w:val="20"/>
          <w:szCs w:val="20"/>
          <w:u w:val="single"/>
          <w:lang w:val="lv-LV"/>
        </w:rPr>
        <w:t>Ugunsdrošības risinājumi</w:t>
      </w:r>
      <w:r w:rsidRPr="003E68B7">
        <w:rPr>
          <w:rFonts w:ascii="Arial" w:hAnsi="Arial" w:cs="Arial"/>
          <w:sz w:val="20"/>
          <w:szCs w:val="20"/>
          <w:lang w:val="lv-LV"/>
        </w:rPr>
        <w:t>.</w:t>
      </w:r>
    </w:p>
    <w:p w14:paraId="6E3F6350" w14:textId="77777777" w:rsidR="00C96384" w:rsidRPr="003E68B7" w:rsidRDefault="00000000" w:rsidP="003E68B7">
      <w:pPr>
        <w:spacing w:line="360" w:lineRule="auto"/>
        <w:rPr>
          <w:rFonts w:ascii="Arial" w:hAnsi="Arial" w:cs="Arial"/>
          <w:i/>
          <w:iCs/>
          <w:sz w:val="20"/>
          <w:szCs w:val="20"/>
          <w:lang w:val="lv-LV"/>
        </w:rPr>
      </w:pPr>
      <w:r w:rsidRPr="003E68B7">
        <w:rPr>
          <w:rFonts w:ascii="Arial" w:hAnsi="Arial" w:cs="Arial"/>
          <w:sz w:val="20"/>
          <w:szCs w:val="20"/>
          <w:lang w:val="lv-LV"/>
        </w:rPr>
        <w:t>Ēka ir U2b ugunsnoturības pakāpes ēka. Ēkas veidota kā viens ugundrošības nodalījums, kas pēc LBN 201-15 3.tab.</w:t>
      </w:r>
      <w:r w:rsidR="000C26C1" w:rsidRPr="003E68B7">
        <w:rPr>
          <w:rFonts w:ascii="Arial" w:hAnsi="Arial" w:cs="Arial"/>
          <w:sz w:val="20"/>
          <w:szCs w:val="20"/>
          <w:lang w:val="lv-LV"/>
        </w:rPr>
        <w:t xml:space="preserve"> Būves ugunsdrošības nodalījuma lietošanas veids VIa, būves vai tās ugunsdrošības nodalījuma augstākā stāva grīdas līmeņa atzīme 8(m), ugunsdrošības nodalījuma maksimālā platība 2500(m</w:t>
      </w:r>
      <w:r w:rsidR="000C26C1" w:rsidRPr="003E68B7">
        <w:rPr>
          <w:rFonts w:ascii="Arial" w:hAnsi="Arial" w:cs="Arial"/>
          <w:sz w:val="20"/>
          <w:szCs w:val="20"/>
          <w:vertAlign w:val="superscript"/>
          <w:lang w:val="lv-LV"/>
        </w:rPr>
        <w:t>2</w:t>
      </w:r>
      <w:r w:rsidR="000C26C1" w:rsidRPr="003E68B7">
        <w:rPr>
          <w:rFonts w:ascii="Arial" w:hAnsi="Arial" w:cs="Arial"/>
          <w:sz w:val="20"/>
          <w:szCs w:val="20"/>
          <w:lang w:val="lv-LV"/>
        </w:rPr>
        <w:t>)</w:t>
      </w:r>
      <w:r w:rsidR="000C26C1" w:rsidRPr="003E68B7">
        <w:rPr>
          <w:rFonts w:ascii="Arial" w:hAnsi="Arial" w:cs="Arial"/>
          <w:i/>
          <w:iCs/>
          <w:sz w:val="20"/>
          <w:szCs w:val="20"/>
          <w:lang w:val="lv-LV"/>
        </w:rPr>
        <w:t xml:space="preserve">. </w:t>
      </w:r>
      <w:r w:rsidR="000C26C1" w:rsidRPr="003E68B7">
        <w:rPr>
          <w:rFonts w:ascii="Arial" w:hAnsi="Arial" w:cs="Arial"/>
          <w:sz w:val="20"/>
          <w:szCs w:val="20"/>
          <w:lang w:val="lv-LV"/>
        </w:rPr>
        <w:t>Kas a</w:t>
      </w:r>
      <w:r w:rsidRPr="003E68B7">
        <w:rPr>
          <w:rFonts w:ascii="Arial" w:hAnsi="Arial" w:cs="Arial"/>
          <w:sz w:val="20"/>
          <w:szCs w:val="20"/>
          <w:lang w:val="lv-LV" w:eastAsia="en-US"/>
        </w:rPr>
        <w:t>tbilst normatīvajām prasībām, jo kopējā platība (289,83m</w:t>
      </w:r>
      <w:r w:rsidRPr="003E68B7">
        <w:rPr>
          <w:rFonts w:ascii="Arial" w:hAnsi="Arial" w:cs="Arial"/>
          <w:sz w:val="20"/>
          <w:szCs w:val="20"/>
          <w:vertAlign w:val="superscript"/>
          <w:lang w:val="lv-LV" w:eastAsia="en-US"/>
        </w:rPr>
        <w:t>2</w:t>
      </w:r>
      <w:r w:rsidRPr="003E68B7">
        <w:rPr>
          <w:rFonts w:ascii="Arial" w:hAnsi="Arial" w:cs="Arial"/>
          <w:sz w:val="20"/>
          <w:szCs w:val="20"/>
          <w:lang w:val="lv-LV" w:eastAsia="en-US"/>
        </w:rPr>
        <w:t>) nepārsniedz normatīvo.</w:t>
      </w:r>
    </w:p>
    <w:p w14:paraId="10D1D7A5" w14:textId="77777777" w:rsidR="00C96384" w:rsidRPr="003E68B7" w:rsidRDefault="00000000" w:rsidP="003E68B7">
      <w:pPr>
        <w:spacing w:line="360" w:lineRule="auto"/>
        <w:rPr>
          <w:rFonts w:ascii="Arial" w:hAnsi="Arial" w:cs="Arial"/>
          <w:sz w:val="20"/>
          <w:szCs w:val="20"/>
          <w:lang w:val="lv-LV" w:eastAsia="en-US"/>
        </w:rPr>
      </w:pPr>
      <w:r w:rsidRPr="003E68B7">
        <w:rPr>
          <w:rFonts w:ascii="Arial" w:hAnsi="Arial" w:cs="Arial"/>
          <w:sz w:val="20"/>
          <w:szCs w:val="20"/>
          <w:lang w:val="lv-LV" w:eastAsia="en-US"/>
        </w:rPr>
        <w:t>No katras telpas ir viena evakuācijas izeja, attālums no katras telpas līdz šai izejai nepārsniedz normatīvos lielumus pēc LBN 201-15 P.</w:t>
      </w:r>
    </w:p>
    <w:p w14:paraId="5D4A97DA" w14:textId="77777777" w:rsidR="00C96384" w:rsidRPr="003E68B7" w:rsidRDefault="000C26C1" w:rsidP="003E68B7">
      <w:pPr>
        <w:spacing w:line="360" w:lineRule="auto"/>
        <w:rPr>
          <w:rFonts w:ascii="Arial" w:hAnsi="Arial" w:cs="Arial"/>
          <w:sz w:val="20"/>
          <w:szCs w:val="20"/>
          <w:lang w:val="lv-LV"/>
        </w:rPr>
      </w:pPr>
      <w:r w:rsidRPr="003E68B7">
        <w:rPr>
          <w:rFonts w:ascii="Arial" w:hAnsi="Arial" w:cs="Arial"/>
          <w:sz w:val="20"/>
          <w:szCs w:val="20"/>
          <w:lang w:val="lv-LV" w:eastAsia="en-US"/>
        </w:rPr>
        <w:t xml:space="preserve">112.4. V, VI, VIa un VII lietošanas veida būvēs, kurās augstākā stāva grīdas līmenis nav augstāks par 28 metriem, evakuācijas ceļa garums nepārsniedz 30 metrus, stāvā paredzēts uzturēties ne vairāk par 50 lietotājiem un katrā lietošanas veida telpu grupā vai stāvā ir atverama aila. </w:t>
      </w:r>
      <w:r w:rsidRPr="003E68B7">
        <w:rPr>
          <w:rFonts w:ascii="Arial" w:eastAsia="Arial" w:hAnsi="Arial" w:cs="Arial"/>
          <w:sz w:val="20"/>
          <w:szCs w:val="20"/>
          <w:lang w:val="lv-LV" w:eastAsia="en-US"/>
        </w:rPr>
        <w:t xml:space="preserve"> </w:t>
      </w:r>
      <w:r w:rsidRPr="003E68B7">
        <w:rPr>
          <w:rFonts w:ascii="Arial" w:hAnsi="Arial" w:cs="Arial"/>
          <w:sz w:val="20"/>
          <w:szCs w:val="20"/>
          <w:lang w:val="lv-LV" w:eastAsia="en-US"/>
        </w:rPr>
        <w:t>Būvprojekta sastāvā ir izstrādāta UATS daļa.</w:t>
      </w:r>
    </w:p>
    <w:p w14:paraId="11B067E8" w14:textId="77777777" w:rsidR="00C96384" w:rsidRPr="003E68B7" w:rsidRDefault="00C96384" w:rsidP="003E68B7">
      <w:pPr>
        <w:spacing w:line="360" w:lineRule="auto"/>
        <w:rPr>
          <w:rFonts w:ascii="Arial" w:hAnsi="Arial" w:cs="Arial"/>
          <w:sz w:val="20"/>
          <w:szCs w:val="20"/>
          <w:lang w:val="lv-LV" w:eastAsia="en-US"/>
        </w:rPr>
      </w:pPr>
    </w:p>
    <w:p w14:paraId="378EDD5D" w14:textId="77777777" w:rsidR="000C26C1" w:rsidRPr="003E68B7" w:rsidRDefault="000C26C1" w:rsidP="003E68B7">
      <w:pPr>
        <w:spacing w:line="360" w:lineRule="auto"/>
        <w:rPr>
          <w:rFonts w:ascii="Arial" w:hAnsi="Arial" w:cs="Arial"/>
          <w:sz w:val="20"/>
          <w:szCs w:val="20"/>
          <w:lang w:val="lv-LV" w:eastAsia="en-US"/>
        </w:rPr>
      </w:pPr>
    </w:p>
    <w:p w14:paraId="7ECF0775" w14:textId="77777777" w:rsidR="00C96384" w:rsidRPr="003E68B7" w:rsidRDefault="00000000" w:rsidP="003E68B7">
      <w:pPr>
        <w:spacing w:line="360" w:lineRule="auto"/>
        <w:rPr>
          <w:rFonts w:ascii="Arial" w:hAnsi="Arial" w:cs="Arial"/>
          <w:b/>
          <w:sz w:val="20"/>
          <w:szCs w:val="20"/>
          <w:u w:val="single"/>
          <w:lang w:val="lv-LV" w:eastAsia="en-US"/>
        </w:rPr>
      </w:pPr>
      <w:r w:rsidRPr="003E68B7">
        <w:rPr>
          <w:rFonts w:ascii="Arial" w:hAnsi="Arial" w:cs="Arial"/>
          <w:b/>
          <w:sz w:val="20"/>
          <w:szCs w:val="20"/>
          <w:u w:val="single"/>
          <w:lang w:val="lv-LV" w:eastAsia="en-US"/>
        </w:rPr>
        <w:t xml:space="preserve">Vides pieejamības risinājumi. </w:t>
      </w:r>
    </w:p>
    <w:p w14:paraId="675E0910" w14:textId="77777777" w:rsidR="00C96384" w:rsidRPr="003E68B7" w:rsidRDefault="00C96384" w:rsidP="003E68B7">
      <w:pPr>
        <w:spacing w:line="360" w:lineRule="auto"/>
        <w:rPr>
          <w:rFonts w:ascii="Arial" w:hAnsi="Arial" w:cs="Arial"/>
          <w:b/>
          <w:sz w:val="20"/>
          <w:szCs w:val="20"/>
          <w:u w:val="single"/>
          <w:lang w:val="lv-LV" w:eastAsia="en-US"/>
        </w:rPr>
      </w:pPr>
    </w:p>
    <w:p w14:paraId="1D8EAADE" w14:textId="77777777" w:rsidR="00C96384" w:rsidRPr="003E68B7" w:rsidRDefault="00000000" w:rsidP="003E68B7">
      <w:pPr>
        <w:spacing w:line="360" w:lineRule="auto"/>
        <w:rPr>
          <w:rFonts w:ascii="Arial" w:hAnsi="Arial" w:cs="Arial"/>
          <w:sz w:val="20"/>
          <w:szCs w:val="20"/>
          <w:lang w:val="lv-LV" w:eastAsia="en-US"/>
        </w:rPr>
      </w:pPr>
      <w:r w:rsidRPr="003E68B7">
        <w:rPr>
          <w:rFonts w:ascii="Arial" w:hAnsi="Arial" w:cs="Arial"/>
          <w:sz w:val="20"/>
          <w:szCs w:val="20"/>
          <w:lang w:val="lv-LV" w:eastAsia="en-US"/>
        </w:rPr>
        <w:t>Saskaņā ar LBN 200-21 p.</w:t>
      </w:r>
      <w:r w:rsidR="000C26C1" w:rsidRPr="003E68B7">
        <w:rPr>
          <w:rFonts w:ascii="Arial" w:hAnsi="Arial" w:cs="Arial"/>
          <w:sz w:val="20"/>
          <w:szCs w:val="20"/>
          <w:lang w:val="lv-LV" w:eastAsia="en-US"/>
        </w:rPr>
        <w:t>: 39. Vides pieejamības prasības var nepiemērot ražošanas un tehniskajām telpām, ja telpā notiekošo procesu specifika ir tāda, ka personas ar noteiktiem funkcionāliem traucējumiem nevar veikt šajās telpās paredzētās darbības.</w:t>
      </w:r>
    </w:p>
    <w:p w14:paraId="053DCA63" w14:textId="77777777" w:rsidR="00C96384" w:rsidRPr="003E68B7" w:rsidRDefault="00000000" w:rsidP="003E68B7">
      <w:pPr>
        <w:spacing w:line="360" w:lineRule="auto"/>
        <w:rPr>
          <w:rFonts w:ascii="Arial" w:hAnsi="Arial" w:cs="Arial"/>
          <w:sz w:val="20"/>
          <w:szCs w:val="20"/>
          <w:lang w:val="lv-LV"/>
        </w:rPr>
      </w:pPr>
      <w:r w:rsidRPr="003E68B7">
        <w:rPr>
          <w:rFonts w:ascii="Arial" w:hAnsi="Arial" w:cs="Arial"/>
          <w:sz w:val="20"/>
          <w:szCs w:val="20"/>
          <w:lang w:val="lv-LV" w:eastAsia="en-US"/>
        </w:rPr>
        <w:t>Tādējādi vides pieejamība šajā objektā netiek risināta.</w:t>
      </w:r>
    </w:p>
    <w:p w14:paraId="2E89F33C" w14:textId="77777777" w:rsidR="00C96384" w:rsidRPr="003E68B7" w:rsidRDefault="00C96384" w:rsidP="003E68B7">
      <w:pPr>
        <w:spacing w:line="360" w:lineRule="auto"/>
        <w:rPr>
          <w:rFonts w:ascii="Arial" w:hAnsi="Arial" w:cs="Arial"/>
          <w:sz w:val="20"/>
          <w:szCs w:val="20"/>
          <w:lang w:val="lv-LV" w:eastAsia="en-US"/>
        </w:rPr>
      </w:pPr>
    </w:p>
    <w:p w14:paraId="7D451245" w14:textId="77777777" w:rsidR="00C96384" w:rsidRPr="003E68B7" w:rsidRDefault="00000000" w:rsidP="003E68B7">
      <w:pPr>
        <w:spacing w:line="360" w:lineRule="auto"/>
        <w:rPr>
          <w:rFonts w:ascii="Arial" w:hAnsi="Arial" w:cs="Arial"/>
          <w:b/>
          <w:sz w:val="20"/>
          <w:szCs w:val="20"/>
          <w:u w:val="single"/>
          <w:lang w:val="lv-LV" w:eastAsia="en-US"/>
        </w:rPr>
      </w:pPr>
      <w:r w:rsidRPr="003E68B7">
        <w:rPr>
          <w:rFonts w:ascii="Arial" w:hAnsi="Arial" w:cs="Arial"/>
          <w:b/>
          <w:sz w:val="20"/>
          <w:szCs w:val="20"/>
          <w:u w:val="single"/>
          <w:lang w:val="lv-LV" w:eastAsia="en-US"/>
        </w:rPr>
        <w:t>Inženiertīkli.</w:t>
      </w:r>
    </w:p>
    <w:p w14:paraId="5DDADA39" w14:textId="77777777" w:rsidR="00C96384" w:rsidRPr="003E68B7" w:rsidRDefault="00C96384" w:rsidP="003E68B7">
      <w:pPr>
        <w:spacing w:line="360" w:lineRule="auto"/>
        <w:rPr>
          <w:rFonts w:ascii="Arial" w:hAnsi="Arial" w:cs="Arial"/>
          <w:b/>
          <w:sz w:val="20"/>
          <w:szCs w:val="20"/>
          <w:u w:val="single"/>
          <w:lang w:val="lv-LV" w:eastAsia="en-US"/>
        </w:rPr>
      </w:pPr>
    </w:p>
    <w:p w14:paraId="2FF2B1F9" w14:textId="77777777" w:rsidR="00C96384" w:rsidRPr="003E68B7" w:rsidRDefault="00000000" w:rsidP="003E68B7">
      <w:pPr>
        <w:spacing w:line="360" w:lineRule="auto"/>
        <w:rPr>
          <w:rFonts w:ascii="Arial" w:hAnsi="Arial" w:cs="Arial"/>
          <w:sz w:val="20"/>
          <w:szCs w:val="20"/>
          <w:lang w:val="lv-LV" w:eastAsia="en-US"/>
        </w:rPr>
      </w:pPr>
      <w:r w:rsidRPr="003E68B7">
        <w:rPr>
          <w:rFonts w:ascii="Arial" w:hAnsi="Arial"/>
          <w:sz w:val="20"/>
          <w:szCs w:val="20"/>
          <w:lang w:val="lv-LV"/>
        </w:rPr>
        <w:t>Būvprojekta ietvaros tiek izstrādātas šādas būvprojekta inženiertīklu daļas – UATS, ELT, EL, AVK-A, UK, UKT. Skaidrojošos aprakstus par katru daļu skatīt attiecīgo daļu Vispārīgo rādītāju lapās.</w:t>
      </w:r>
    </w:p>
    <w:p w14:paraId="0CA25B34" w14:textId="77777777" w:rsidR="0085076E" w:rsidRPr="003E68B7" w:rsidRDefault="00000000" w:rsidP="003E68B7">
      <w:pPr>
        <w:spacing w:line="360" w:lineRule="auto"/>
        <w:rPr>
          <w:rFonts w:ascii="Arial" w:hAnsi="Arial" w:cs="Arial"/>
          <w:sz w:val="20"/>
          <w:szCs w:val="20"/>
          <w:lang w:val="lv-LV" w:eastAsia="en-US"/>
        </w:rPr>
      </w:pPr>
      <w:r w:rsidRPr="003E68B7">
        <w:rPr>
          <w:rFonts w:ascii="Arial" w:hAnsi="Arial"/>
          <w:sz w:val="20"/>
          <w:szCs w:val="20"/>
          <w:lang w:val="lv-LV"/>
        </w:rPr>
        <w:t>Ņemot vērā esošās saldētavas ēkas demontāžu un jaunās ēkas sadzīves kanalizācijas pieslēguma nepieciešamību no tualetes, dušas un grīdas trapiem, projektā paredzēta jauna neliela lokāla spiedkanalizācijas sistēma. Pie esošā ūdensvada atzara paredzēts izveidot jaunu pieslēgumu ar viegli apkalpojamu ūdens uzskaites aku.</w:t>
      </w:r>
    </w:p>
    <w:p w14:paraId="4B9180C7" w14:textId="77777777" w:rsidR="0085076E" w:rsidRPr="003E68B7" w:rsidRDefault="00000000" w:rsidP="003E68B7">
      <w:pPr>
        <w:spacing w:line="360" w:lineRule="auto"/>
        <w:rPr>
          <w:rFonts w:ascii="Arial" w:hAnsi="Arial" w:cs="Arial"/>
          <w:sz w:val="20"/>
          <w:szCs w:val="20"/>
          <w:lang w:val="lv-LV" w:eastAsia="en-US"/>
        </w:rPr>
      </w:pPr>
      <w:r w:rsidRPr="003E68B7">
        <w:rPr>
          <w:rFonts w:ascii="Arial" w:hAnsi="Arial"/>
          <w:sz w:val="20"/>
          <w:szCs w:val="20"/>
          <w:lang w:val="lv-LV"/>
        </w:rPr>
        <w:t>Elektroapgāde jaunajai ēkas daļai paredzēta no administratīvās ēkas pēcuzskaites daļas, izbūvējot elektroapgādes pieslēgumu līdz jaunās ēkas atpūtas telpai. Esošie teritorijas apgaismojuma stabi, kas traucē jaunajam plānojumam vai ekspluatācijai, paredzēti demontāžai. Teritorijas apgaismojums risināms pie ēkas ieejām, izmantojot prožektorus.</w:t>
      </w:r>
    </w:p>
    <w:p w14:paraId="2806368C" w14:textId="77777777" w:rsidR="0085076E" w:rsidRPr="003E68B7" w:rsidRDefault="00000000" w:rsidP="003E68B7">
      <w:pPr>
        <w:spacing w:line="360" w:lineRule="auto"/>
        <w:rPr>
          <w:rFonts w:ascii="Arial" w:hAnsi="Arial" w:cs="Arial"/>
          <w:sz w:val="20"/>
          <w:szCs w:val="20"/>
          <w:lang w:val="lv-LV" w:eastAsia="en-US"/>
        </w:rPr>
      </w:pPr>
      <w:r w:rsidRPr="003E68B7">
        <w:rPr>
          <w:rFonts w:ascii="Arial" w:hAnsi="Arial"/>
          <w:sz w:val="20"/>
          <w:szCs w:val="20"/>
          <w:lang w:val="lv-LV"/>
        </w:rPr>
        <w:t>Telpu iekšējais apgaismojums un spēka tīkls paredzēts tā, lai katrai noliktavas telpai būtu iespējams neatkarīgi ieslēgt apgaismojumu un spēka tīkla pieslēgumus. Visās telpās paredzēta ugunsgrēka atklāšanas un trauksmes signalizācijas sistēma. Detalizētus risinājumus skatīt katrā attiecīgajā projekta inženiertīklu sadaļā.</w:t>
      </w:r>
    </w:p>
    <w:p w14:paraId="1167740D" w14:textId="77777777" w:rsidR="00C96384" w:rsidRPr="003E68B7" w:rsidRDefault="00C96384" w:rsidP="003E68B7">
      <w:pPr>
        <w:spacing w:line="360" w:lineRule="auto"/>
        <w:rPr>
          <w:rFonts w:ascii="Arial" w:hAnsi="Arial" w:cs="Arial"/>
          <w:sz w:val="20"/>
          <w:szCs w:val="20"/>
          <w:lang w:val="lv-LV" w:eastAsia="en-US"/>
        </w:rPr>
      </w:pPr>
    </w:p>
    <w:p w14:paraId="48DBCC5F" w14:textId="77777777" w:rsidR="00C96384" w:rsidRPr="003E68B7" w:rsidRDefault="00000000" w:rsidP="003E68B7">
      <w:pPr>
        <w:spacing w:line="360" w:lineRule="auto"/>
        <w:rPr>
          <w:rFonts w:ascii="Arial" w:hAnsi="Arial" w:cs="Arial"/>
          <w:sz w:val="20"/>
          <w:szCs w:val="20"/>
        </w:rPr>
      </w:pPr>
      <w:proofErr w:type="spellStart"/>
      <w:r w:rsidRPr="003E68B7">
        <w:rPr>
          <w:rFonts w:ascii="Arial" w:hAnsi="Arial" w:cs="Arial"/>
          <w:sz w:val="20"/>
          <w:szCs w:val="20"/>
        </w:rPr>
        <w:t>Sastādīja</w:t>
      </w:r>
      <w:proofErr w:type="spellEnd"/>
      <w:r w:rsidRPr="003E68B7">
        <w:rPr>
          <w:rFonts w:ascii="Arial" w:hAnsi="Arial" w:cs="Arial"/>
          <w:sz w:val="20"/>
          <w:szCs w:val="20"/>
        </w:rPr>
        <w:t xml:space="preserve"> Anita Pope</w:t>
      </w:r>
    </w:p>
    <w:p w14:paraId="333C3473" w14:textId="77777777" w:rsidR="00C96384" w:rsidRPr="003E68B7" w:rsidRDefault="00C96384" w:rsidP="003E68B7">
      <w:pPr>
        <w:spacing w:line="360" w:lineRule="auto"/>
        <w:rPr>
          <w:rFonts w:ascii="Arial" w:hAnsi="Arial" w:cs="Arial"/>
          <w:sz w:val="20"/>
          <w:szCs w:val="20"/>
          <w:lang w:val="lv-LV" w:eastAsia="en-US"/>
        </w:rPr>
      </w:pPr>
    </w:p>
    <w:p w14:paraId="27B4F4BF" w14:textId="77777777" w:rsidR="00C96384" w:rsidRPr="003E68B7" w:rsidRDefault="00C96384" w:rsidP="003E68B7">
      <w:pPr>
        <w:spacing w:line="360" w:lineRule="auto"/>
        <w:jc w:val="both"/>
        <w:rPr>
          <w:rFonts w:ascii="Arial" w:hAnsi="Arial" w:cs="Arial"/>
          <w:sz w:val="20"/>
          <w:szCs w:val="20"/>
          <w:lang w:val="lv-LV" w:eastAsia="en-US"/>
        </w:rPr>
      </w:pPr>
    </w:p>
    <w:sectPr w:rsidR="00C96384" w:rsidRPr="003E68B7" w:rsidSect="00071015">
      <w:pgSz w:w="11906" w:h="16838"/>
      <w:pgMar w:top="1134" w:right="567" w:bottom="1134" w:left="1417"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font>
  <w:font w:name="Noto Serif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mbria">
    <w:panose1 w:val="02040503050406030204"/>
    <w:charset w:val="BA"/>
    <w:family w:val="roman"/>
    <w:pitch w:val="variable"/>
    <w:sig w:usb0="E00006FF" w:usb1="420024FF" w:usb2="02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9C2EB1"/>
    <w:multiLevelType w:val="multilevel"/>
    <w:tmpl w:val="021E857E"/>
    <w:lvl w:ilvl="0">
      <w:start w:val="1"/>
      <w:numFmt w:val="none"/>
      <w:pStyle w:val="Heading1"/>
      <w:suff w:val="nothing"/>
      <w:lvlText w:val=""/>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pStyle w:val="Heading5"/>
      <w:suff w:val="nothing"/>
      <w:lvlText w:val=""/>
      <w:lvlJc w:val="left"/>
      <w:pPr>
        <w:tabs>
          <w:tab w:val="num" w:pos="0"/>
        </w:tabs>
        <w:ind w:left="0" w:firstLine="0"/>
      </w:pPr>
    </w:lvl>
    <w:lvl w:ilvl="5">
      <w:start w:val="1"/>
      <w:numFmt w:val="none"/>
      <w:pStyle w:val="Heading6"/>
      <w:suff w:val="nothing"/>
      <w:lvlText w:val=""/>
      <w:lvlJc w:val="left"/>
      <w:pPr>
        <w:tabs>
          <w:tab w:val="num" w:pos="0"/>
        </w:tabs>
        <w:ind w:left="0" w:firstLine="0"/>
      </w:pPr>
    </w:lvl>
    <w:lvl w:ilvl="6">
      <w:start w:val="1"/>
      <w:numFmt w:val="none"/>
      <w:pStyle w:val="Heading7"/>
      <w:suff w:val="nothing"/>
      <w:lvlText w:val=""/>
      <w:lvlJc w:val="left"/>
      <w:pPr>
        <w:tabs>
          <w:tab w:val="num" w:pos="0"/>
        </w:tabs>
        <w:ind w:left="0" w:firstLine="0"/>
      </w:pPr>
    </w:lvl>
    <w:lvl w:ilvl="7">
      <w:start w:val="1"/>
      <w:numFmt w:val="none"/>
      <w:pStyle w:val="Heading8"/>
      <w:suff w:val="nothing"/>
      <w:lvlText w:val=""/>
      <w:lvlJc w:val="left"/>
      <w:pPr>
        <w:tabs>
          <w:tab w:val="num" w:pos="0"/>
        </w:tabs>
        <w:ind w:left="0" w:firstLine="0"/>
      </w:pPr>
    </w:lvl>
    <w:lvl w:ilvl="8">
      <w:start w:val="1"/>
      <w:numFmt w:val="none"/>
      <w:pStyle w:val="Heading9"/>
      <w:suff w:val="nothing"/>
      <w:lvlText w:val=""/>
      <w:lvlJc w:val="left"/>
      <w:pPr>
        <w:tabs>
          <w:tab w:val="num" w:pos="0"/>
        </w:tabs>
        <w:ind w:left="0" w:firstLine="0"/>
      </w:pPr>
    </w:lvl>
  </w:abstractNum>
  <w:num w:numId="1" w16cid:durableId="670757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Moves/>
  <w:defaultTabStop w:val="720"/>
  <w:autoHyphenation/>
  <w:hyphenationZone w:val="0"/>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96384"/>
    <w:rsid w:val="00071015"/>
    <w:rsid w:val="000C26C1"/>
    <w:rsid w:val="0013751C"/>
    <w:rsid w:val="003E68B7"/>
    <w:rsid w:val="0085076E"/>
    <w:rsid w:val="00B532FF"/>
    <w:rsid w:val="00C963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A6F73A"/>
  <w15:docId w15:val="{7BDD70EB-9A34-4B1E-A620-E7D844F56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oto Serif CJK SC" w:hAnsi="Liberation Serif" w:cs="Lohit Devanaga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rFonts w:ascii="Times New Roman" w:eastAsia="Lucida Sans Unicode" w:hAnsi="Times New Roman" w:cs="Times New Roman"/>
      <w:sz w:val="24"/>
      <w:szCs w:val="24"/>
      <w:lang w:eastAsia="zh-CN"/>
    </w:rPr>
  </w:style>
  <w:style w:type="paragraph" w:styleId="Heading1">
    <w:name w:val="heading 1"/>
    <w:basedOn w:val="Normal"/>
    <w:next w:val="Normal"/>
    <w:uiPriority w:val="9"/>
    <w:qFormat/>
    <w:pPr>
      <w:numPr>
        <w:numId w:val="1"/>
      </w:numPr>
      <w:spacing w:before="480"/>
      <w:contextualSpacing/>
      <w:outlineLvl w:val="0"/>
    </w:pPr>
    <w:rPr>
      <w:rFonts w:ascii="Cambria" w:eastAsia="Times New Roman" w:hAnsi="Cambria"/>
      <w:b/>
      <w:bCs/>
      <w:sz w:val="28"/>
      <w:szCs w:val="28"/>
    </w:rPr>
  </w:style>
  <w:style w:type="paragraph" w:styleId="Heading2">
    <w:name w:val="heading 2"/>
    <w:basedOn w:val="Normal"/>
    <w:next w:val="Normal"/>
    <w:uiPriority w:val="9"/>
    <w:semiHidden/>
    <w:unhideWhenUsed/>
    <w:qFormat/>
    <w:pPr>
      <w:numPr>
        <w:ilvl w:val="1"/>
        <w:numId w:val="1"/>
      </w:numPr>
      <w:spacing w:before="200"/>
      <w:outlineLvl w:val="1"/>
    </w:pPr>
    <w:rPr>
      <w:rFonts w:ascii="Cambria" w:eastAsia="Times New Roman" w:hAnsi="Cambria"/>
      <w:b/>
      <w:bCs/>
      <w:sz w:val="26"/>
      <w:szCs w:val="26"/>
    </w:rPr>
  </w:style>
  <w:style w:type="paragraph" w:styleId="Heading3">
    <w:name w:val="heading 3"/>
    <w:basedOn w:val="Normal"/>
    <w:next w:val="Normal"/>
    <w:uiPriority w:val="9"/>
    <w:semiHidden/>
    <w:unhideWhenUsed/>
    <w:qFormat/>
    <w:pPr>
      <w:numPr>
        <w:ilvl w:val="2"/>
        <w:numId w:val="1"/>
      </w:numPr>
      <w:spacing w:before="200" w:line="269" w:lineRule="auto"/>
      <w:outlineLvl w:val="2"/>
    </w:pPr>
    <w:rPr>
      <w:rFonts w:ascii="Cambria" w:eastAsia="Times New Roman" w:hAnsi="Cambria"/>
      <w:b/>
      <w:bCs/>
    </w:rPr>
  </w:style>
  <w:style w:type="paragraph" w:styleId="Heading4">
    <w:name w:val="heading 4"/>
    <w:basedOn w:val="Normal"/>
    <w:next w:val="Normal"/>
    <w:uiPriority w:val="9"/>
    <w:semiHidden/>
    <w:unhideWhenUsed/>
    <w:qFormat/>
    <w:pPr>
      <w:numPr>
        <w:ilvl w:val="3"/>
        <w:numId w:val="1"/>
      </w:numPr>
      <w:spacing w:before="200"/>
      <w:outlineLvl w:val="3"/>
    </w:pPr>
    <w:rPr>
      <w:rFonts w:ascii="Cambria" w:eastAsia="Times New Roman" w:hAnsi="Cambria"/>
      <w:b/>
      <w:bCs/>
      <w:i/>
      <w:iCs/>
    </w:rPr>
  </w:style>
  <w:style w:type="paragraph" w:styleId="Heading5">
    <w:name w:val="heading 5"/>
    <w:basedOn w:val="Normal"/>
    <w:next w:val="Normal"/>
    <w:uiPriority w:val="9"/>
    <w:semiHidden/>
    <w:unhideWhenUsed/>
    <w:qFormat/>
    <w:pPr>
      <w:numPr>
        <w:ilvl w:val="4"/>
        <w:numId w:val="1"/>
      </w:numPr>
      <w:spacing w:before="200"/>
      <w:outlineLvl w:val="4"/>
    </w:pPr>
    <w:rPr>
      <w:rFonts w:ascii="Cambria" w:eastAsia="Times New Roman" w:hAnsi="Cambria"/>
      <w:b/>
      <w:bCs/>
      <w:color w:val="7F7F7F"/>
    </w:rPr>
  </w:style>
  <w:style w:type="paragraph" w:styleId="Heading6">
    <w:name w:val="heading 6"/>
    <w:basedOn w:val="Normal"/>
    <w:next w:val="Normal"/>
    <w:uiPriority w:val="9"/>
    <w:semiHidden/>
    <w:unhideWhenUsed/>
    <w:qFormat/>
    <w:pPr>
      <w:numPr>
        <w:ilvl w:val="5"/>
        <w:numId w:val="1"/>
      </w:numPr>
      <w:spacing w:line="269" w:lineRule="auto"/>
      <w:outlineLvl w:val="5"/>
    </w:pPr>
    <w:rPr>
      <w:rFonts w:ascii="Cambria" w:eastAsia="Times New Roman" w:hAnsi="Cambria"/>
      <w:b/>
      <w:bCs/>
      <w:i/>
      <w:iCs/>
      <w:color w:val="7F7F7F"/>
    </w:rPr>
  </w:style>
  <w:style w:type="paragraph" w:styleId="Heading7">
    <w:name w:val="heading 7"/>
    <w:basedOn w:val="Normal"/>
    <w:next w:val="Normal"/>
    <w:qFormat/>
    <w:pPr>
      <w:numPr>
        <w:ilvl w:val="6"/>
        <w:numId w:val="1"/>
      </w:numPr>
      <w:outlineLvl w:val="6"/>
    </w:pPr>
    <w:rPr>
      <w:rFonts w:ascii="Cambria" w:eastAsia="Times New Roman" w:hAnsi="Cambria"/>
      <w:i/>
      <w:iCs/>
    </w:rPr>
  </w:style>
  <w:style w:type="paragraph" w:styleId="Heading8">
    <w:name w:val="heading 8"/>
    <w:basedOn w:val="Normal"/>
    <w:next w:val="Normal"/>
    <w:qFormat/>
    <w:pPr>
      <w:numPr>
        <w:ilvl w:val="7"/>
        <w:numId w:val="1"/>
      </w:numPr>
      <w:outlineLvl w:val="7"/>
    </w:pPr>
    <w:rPr>
      <w:rFonts w:ascii="Cambria" w:eastAsia="Times New Roman" w:hAnsi="Cambria"/>
      <w:sz w:val="20"/>
      <w:szCs w:val="20"/>
    </w:rPr>
  </w:style>
  <w:style w:type="paragraph" w:styleId="Heading9">
    <w:name w:val="heading 9"/>
    <w:basedOn w:val="Normal"/>
    <w:next w:val="Normal"/>
    <w:qFormat/>
    <w:pPr>
      <w:numPr>
        <w:ilvl w:val="8"/>
        <w:numId w:val="1"/>
      </w:numPr>
      <w:outlineLvl w:val="8"/>
    </w:pPr>
    <w:rPr>
      <w:rFonts w:ascii="Cambria" w:eastAsia="Times New Roman"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rPr>
      <w:rFonts w:ascii="Times New Roman" w:eastAsia="Lucida Sans Unicode" w:hAnsi="Times New Roman" w:cs="Times New Roman"/>
    </w:rPr>
  </w:style>
  <w:style w:type="character" w:customStyle="1" w:styleId="WW8Num1z1">
    <w:name w:val="WW8Num1z1"/>
    <w:qFormat/>
    <w:rPr>
      <w:rFonts w:ascii="Courier New" w:hAnsi="Courier New" w:cs="Courier New"/>
    </w:rPr>
  </w:style>
  <w:style w:type="character" w:customStyle="1" w:styleId="WW8Num1z2">
    <w:name w:val="WW8Num1z2"/>
    <w:qFormat/>
    <w:rPr>
      <w:rFonts w:ascii="Wingdings" w:hAnsi="Wingdings" w:cs="Wingdings"/>
    </w:rPr>
  </w:style>
  <w:style w:type="character" w:customStyle="1" w:styleId="WW8Num1z3">
    <w:name w:val="WW8Num1z3"/>
    <w:qFormat/>
    <w:rPr>
      <w:rFonts w:ascii="Symbol" w:hAnsi="Symbol" w:cs="Symbol"/>
    </w:rPr>
  </w:style>
  <w:style w:type="character" w:customStyle="1" w:styleId="WW8Num2z0">
    <w:name w:val="WW8Num2z0"/>
    <w:qFormat/>
    <w:rPr>
      <w:rFonts w:ascii="Calibri" w:hAnsi="Calibri" w:cs="Calibri"/>
      <w:b/>
      <w:sz w:val="28"/>
      <w:szCs w:val="28"/>
    </w:rPr>
  </w:style>
  <w:style w:type="character" w:customStyle="1" w:styleId="WW8Num2z1">
    <w:name w:val="WW8Num2z1"/>
    <w:qFormat/>
    <w:rPr>
      <w:rFonts w:ascii="Calibri" w:hAnsi="Calibri" w:cs="Times New Roman"/>
      <w:sz w:val="24"/>
      <w:szCs w:val="24"/>
    </w:rPr>
  </w:style>
  <w:style w:type="character" w:customStyle="1" w:styleId="WW8Num2z2">
    <w:name w:val="WW8Num2z2"/>
    <w:qFormat/>
    <w:rPr>
      <w:rFonts w:ascii="Calibri" w:hAnsi="Calibri" w:cs="Times New Roman"/>
      <w:i/>
      <w:sz w:val="24"/>
      <w:szCs w:val="24"/>
    </w:rPr>
  </w:style>
  <w:style w:type="character" w:customStyle="1" w:styleId="Heading1Char">
    <w:name w:val="Heading 1 Char"/>
    <w:qFormat/>
    <w:rPr>
      <w:rFonts w:ascii="Cambria" w:eastAsia="Times New Roman" w:hAnsi="Cambria" w:cs="Times New Roman"/>
      <w:b/>
      <w:bCs/>
      <w:sz w:val="28"/>
      <w:szCs w:val="28"/>
    </w:rPr>
  </w:style>
  <w:style w:type="character" w:customStyle="1" w:styleId="Heading2Char">
    <w:name w:val="Heading 2 Char"/>
    <w:qFormat/>
    <w:rPr>
      <w:rFonts w:ascii="Cambria" w:eastAsia="Times New Roman" w:hAnsi="Cambria" w:cs="Times New Roman"/>
      <w:b/>
      <w:bCs/>
      <w:sz w:val="26"/>
      <w:szCs w:val="26"/>
    </w:rPr>
  </w:style>
  <w:style w:type="character" w:customStyle="1" w:styleId="Heading3Char">
    <w:name w:val="Heading 3 Char"/>
    <w:qFormat/>
    <w:rPr>
      <w:rFonts w:ascii="Cambria" w:eastAsia="Times New Roman" w:hAnsi="Cambria" w:cs="Times New Roman"/>
      <w:b/>
      <w:bCs/>
    </w:rPr>
  </w:style>
  <w:style w:type="character" w:customStyle="1" w:styleId="Heading4Char">
    <w:name w:val="Heading 4 Char"/>
    <w:qFormat/>
    <w:rPr>
      <w:rFonts w:ascii="Cambria" w:eastAsia="Times New Roman" w:hAnsi="Cambria" w:cs="Times New Roman"/>
      <w:b/>
      <w:bCs/>
      <w:i/>
      <w:iCs/>
    </w:rPr>
  </w:style>
  <w:style w:type="character" w:customStyle="1" w:styleId="Heading5Char">
    <w:name w:val="Heading 5 Char"/>
    <w:qFormat/>
    <w:rPr>
      <w:rFonts w:ascii="Cambria" w:eastAsia="Times New Roman" w:hAnsi="Cambria" w:cs="Times New Roman"/>
      <w:b/>
      <w:bCs/>
      <w:color w:val="7F7F7F"/>
    </w:rPr>
  </w:style>
  <w:style w:type="character" w:customStyle="1" w:styleId="Heading6Char">
    <w:name w:val="Heading 6 Char"/>
    <w:qFormat/>
    <w:rPr>
      <w:rFonts w:ascii="Cambria" w:eastAsia="Times New Roman" w:hAnsi="Cambria" w:cs="Times New Roman"/>
      <w:b/>
      <w:bCs/>
      <w:i/>
      <w:iCs/>
      <w:color w:val="7F7F7F"/>
    </w:rPr>
  </w:style>
  <w:style w:type="character" w:customStyle="1" w:styleId="Heading7Char">
    <w:name w:val="Heading 7 Char"/>
    <w:qFormat/>
    <w:rPr>
      <w:rFonts w:ascii="Cambria" w:eastAsia="Times New Roman" w:hAnsi="Cambria" w:cs="Times New Roman"/>
      <w:i/>
      <w:iCs/>
    </w:rPr>
  </w:style>
  <w:style w:type="character" w:customStyle="1" w:styleId="Heading8Char">
    <w:name w:val="Heading 8 Char"/>
    <w:qFormat/>
    <w:rPr>
      <w:rFonts w:ascii="Cambria" w:eastAsia="Times New Roman" w:hAnsi="Cambria" w:cs="Times New Roman"/>
      <w:sz w:val="20"/>
      <w:szCs w:val="20"/>
    </w:rPr>
  </w:style>
  <w:style w:type="character" w:customStyle="1" w:styleId="Heading9Char">
    <w:name w:val="Heading 9 Char"/>
    <w:qFormat/>
    <w:rPr>
      <w:rFonts w:ascii="Cambria" w:eastAsia="Times New Roman" w:hAnsi="Cambria" w:cs="Times New Roman"/>
      <w:i/>
      <w:iCs/>
      <w:spacing w:val="5"/>
      <w:sz w:val="20"/>
      <w:szCs w:val="20"/>
    </w:rPr>
  </w:style>
  <w:style w:type="character" w:customStyle="1" w:styleId="TitleChar">
    <w:name w:val="Title Char"/>
    <w:qFormat/>
    <w:rPr>
      <w:rFonts w:ascii="Cambria" w:eastAsia="Times New Roman" w:hAnsi="Cambria" w:cs="Times New Roman"/>
      <w:spacing w:val="5"/>
      <w:sz w:val="52"/>
      <w:szCs w:val="52"/>
    </w:rPr>
  </w:style>
  <w:style w:type="character" w:customStyle="1" w:styleId="SubtitleChar">
    <w:name w:val="Subtitle Char"/>
    <w:qFormat/>
    <w:rPr>
      <w:rFonts w:ascii="Cambria" w:eastAsia="Times New Roman" w:hAnsi="Cambria" w:cs="Times New Roman"/>
      <w:i/>
      <w:iCs/>
      <w:spacing w:val="13"/>
      <w:sz w:val="24"/>
      <w:szCs w:val="24"/>
    </w:rPr>
  </w:style>
  <w:style w:type="character" w:styleId="Strong">
    <w:name w:val="Strong"/>
    <w:qFormat/>
    <w:rPr>
      <w:b/>
      <w:bCs/>
    </w:rPr>
  </w:style>
  <w:style w:type="character" w:styleId="Emphasis">
    <w:name w:val="Emphasis"/>
    <w:qFormat/>
    <w:rPr>
      <w:b/>
      <w:bCs/>
      <w:i/>
      <w:iCs/>
      <w:spacing w:val="10"/>
      <w:shd w:val="clear" w:color="auto" w:fill="auto"/>
    </w:rPr>
  </w:style>
  <w:style w:type="character" w:customStyle="1" w:styleId="NoSpacingChar">
    <w:name w:val="No Spacing Char"/>
    <w:basedOn w:val="DefaultParagraphFont"/>
    <w:qFormat/>
  </w:style>
  <w:style w:type="character" w:customStyle="1" w:styleId="QuoteChar">
    <w:name w:val="Quote Char"/>
    <w:qFormat/>
    <w:rPr>
      <w:i/>
      <w:iCs/>
    </w:rPr>
  </w:style>
  <w:style w:type="character" w:customStyle="1" w:styleId="IntenseQuoteChar">
    <w:name w:val="Intense Quote Char"/>
    <w:qFormat/>
    <w:rPr>
      <w:b/>
      <w:bCs/>
      <w:i/>
      <w:iCs/>
    </w:rPr>
  </w:style>
  <w:style w:type="character" w:styleId="SubtleEmphasis">
    <w:name w:val="Subtle Emphasis"/>
    <w:qFormat/>
    <w:rPr>
      <w:i/>
      <w:iCs/>
    </w:rPr>
  </w:style>
  <w:style w:type="character" w:styleId="IntenseEmphasis">
    <w:name w:val="Intense Emphasis"/>
    <w:qFormat/>
    <w:rPr>
      <w:b/>
      <w:bCs/>
    </w:rPr>
  </w:style>
  <w:style w:type="character" w:styleId="SubtleReference">
    <w:name w:val="Subtle Reference"/>
    <w:qFormat/>
    <w:rPr>
      <w:smallCaps/>
    </w:rPr>
  </w:style>
  <w:style w:type="character" w:styleId="IntenseReference">
    <w:name w:val="Intense Reference"/>
    <w:qFormat/>
    <w:rPr>
      <w:smallCaps/>
      <w:spacing w:val="5"/>
      <w:u w:val="single"/>
    </w:rPr>
  </w:style>
  <w:style w:type="character" w:styleId="BookTitle">
    <w:name w:val="Book Title"/>
    <w:qFormat/>
    <w:rPr>
      <w:i/>
      <w:iCs/>
      <w:smallCaps/>
      <w:spacing w:val="5"/>
    </w:rPr>
  </w:style>
  <w:style w:type="character" w:customStyle="1" w:styleId="CaptionChar">
    <w:name w:val="Caption Char"/>
    <w:qFormat/>
    <w:rPr>
      <w:caps/>
      <w:spacing w:val="10"/>
      <w:sz w:val="18"/>
      <w:szCs w:val="18"/>
      <w:lang w:val="lv-LV"/>
    </w:rPr>
  </w:style>
  <w:style w:type="character" w:customStyle="1" w:styleId="ListParagraphChar">
    <w:name w:val="List Paragraph Char"/>
    <w:qFormat/>
    <w:rPr>
      <w:lang w:val="lv-LV"/>
    </w:rPr>
  </w:style>
  <w:style w:type="paragraph" w:customStyle="1" w:styleId="Heading">
    <w:name w:val="Heading"/>
    <w:basedOn w:val="Normal"/>
    <w:next w:val="Normal"/>
    <w:qFormat/>
    <w:pPr>
      <w:pBdr>
        <w:bottom w:val="single" w:sz="4" w:space="1" w:color="000000"/>
      </w:pBdr>
      <w:contextualSpacing/>
    </w:pPr>
    <w:rPr>
      <w:rFonts w:ascii="Cambria" w:eastAsia="Times New Roman" w:hAnsi="Cambria"/>
      <w:spacing w:val="5"/>
      <w:sz w:val="52"/>
      <w:szCs w:val="52"/>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next w:val="Normal"/>
    <w:qFormat/>
    <w:rPr>
      <w:caps/>
      <w:spacing w:val="10"/>
      <w:sz w:val="18"/>
      <w:szCs w:val="18"/>
    </w:rPr>
  </w:style>
  <w:style w:type="paragraph" w:customStyle="1" w:styleId="Index">
    <w:name w:val="Index"/>
    <w:basedOn w:val="Normal"/>
    <w:qFormat/>
    <w:pPr>
      <w:suppressLineNumbers/>
    </w:pPr>
    <w:rPr>
      <w:rFonts w:cs="Lohit Devanagari"/>
    </w:rPr>
  </w:style>
  <w:style w:type="paragraph" w:styleId="NoSpacing">
    <w:name w:val="No Spacing"/>
    <w:basedOn w:val="Normal"/>
    <w:qFormat/>
  </w:style>
  <w:style w:type="paragraph" w:styleId="ListParagraph">
    <w:name w:val="List Paragraph"/>
    <w:basedOn w:val="Normal"/>
    <w:qFormat/>
    <w:pPr>
      <w:ind w:left="720"/>
      <w:contextualSpacing/>
    </w:pPr>
    <w:rPr>
      <w:rFonts w:ascii="Calibri" w:eastAsia="Calibri" w:hAnsi="Calibri" w:cs="Calibri"/>
      <w:sz w:val="20"/>
      <w:szCs w:val="20"/>
      <w:lang w:val="lv-LV"/>
    </w:rPr>
  </w:style>
  <w:style w:type="paragraph" w:styleId="Subtitle">
    <w:name w:val="Subtitle"/>
    <w:basedOn w:val="Normal"/>
    <w:next w:val="Normal"/>
    <w:uiPriority w:val="11"/>
    <w:qFormat/>
    <w:pPr>
      <w:spacing w:after="600"/>
    </w:pPr>
    <w:rPr>
      <w:rFonts w:ascii="Cambria" w:eastAsia="Times New Roman" w:hAnsi="Cambria"/>
      <w:i/>
      <w:iCs/>
      <w:spacing w:val="13"/>
    </w:rPr>
  </w:style>
  <w:style w:type="paragraph" w:styleId="Quote">
    <w:name w:val="Quote"/>
    <w:basedOn w:val="Normal"/>
    <w:next w:val="Normal"/>
    <w:qFormat/>
    <w:pPr>
      <w:spacing w:before="200"/>
      <w:ind w:left="360" w:right="360"/>
    </w:pPr>
    <w:rPr>
      <w:i/>
      <w:iCs/>
    </w:rPr>
  </w:style>
  <w:style w:type="paragraph" w:styleId="IntenseQuote">
    <w:name w:val="Intense Quote"/>
    <w:basedOn w:val="Normal"/>
    <w:next w:val="Normal"/>
    <w:qFormat/>
    <w:pPr>
      <w:pBdr>
        <w:bottom w:val="single" w:sz="4" w:space="1" w:color="000000"/>
      </w:pBdr>
      <w:spacing w:before="200" w:after="280"/>
      <w:ind w:left="1008" w:right="1152"/>
      <w:jc w:val="both"/>
    </w:pPr>
    <w:rPr>
      <w:b/>
      <w:bCs/>
      <w:i/>
      <w:iCs/>
    </w:rPr>
  </w:style>
  <w:style w:type="paragraph" w:styleId="TOCHeading">
    <w:name w:val="TOC Heading"/>
    <w:basedOn w:val="Heading1"/>
    <w:next w:val="Normal"/>
    <w:qFormat/>
    <w:pPr>
      <w:numPr>
        <w:numId w:val="0"/>
      </w:numPr>
      <w:outlineLvl w:val="9"/>
    </w:pPr>
  </w:style>
  <w:style w:type="paragraph" w:customStyle="1" w:styleId="Default">
    <w:name w:val="Default"/>
    <w:qFormat/>
    <w:pPr>
      <w:suppressAutoHyphens/>
      <w:autoSpaceDE w:val="0"/>
    </w:pPr>
    <w:rPr>
      <w:rFonts w:ascii="Times New Roman" w:eastAsia="Calibri" w:hAnsi="Times New Roman" w:cs="Times New Roman"/>
      <w:color w:val="000000"/>
      <w:sz w:val="24"/>
      <w:szCs w:val="24"/>
      <w:lang w:val="lv-LV" w:eastAsia="zh-CN"/>
    </w:rPr>
  </w:style>
  <w:style w:type="numbering" w:customStyle="1" w:styleId="WW8Num1">
    <w:name w:val="WW8Num1"/>
    <w:qFormat/>
  </w:style>
  <w:style w:type="numbering" w:customStyle="1" w:styleId="WW8Num2">
    <w:name w:val="WW8Num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TotalTime>
  <Pages>1</Pages>
  <Words>940</Words>
  <Characters>5362</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Jānis_R</dc:creator>
  <cp:keywords/>
  <dc:description/>
  <cp:lastModifiedBy>Sandijs Grietēns</cp:lastModifiedBy>
  <cp:revision>9</cp:revision>
  <dcterms:created xsi:type="dcterms:W3CDTF">2026-06-15T09:12:00Z</dcterms:created>
  <dcterms:modified xsi:type="dcterms:W3CDTF">2026-07-01T11:15:00Z</dcterms:modified>
  <dc:language>en-US</dc:language>
</cp:coreProperties>
</file>